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7" w:rsidRDefault="006C4E9D" w:rsidP="003F1A37">
      <w:pPr>
        <w:ind w:firstLine="0"/>
        <w:rPr>
          <w:b/>
          <w:szCs w:val="24"/>
        </w:rPr>
      </w:pPr>
      <w:r w:rsidRPr="00793957">
        <w:rPr>
          <w:b/>
          <w:szCs w:val="24"/>
        </w:rPr>
        <w:t xml:space="preserve">Мотиви към </w:t>
      </w:r>
      <w:proofErr w:type="spellStart"/>
      <w:r w:rsidR="004259DE" w:rsidRPr="00793957">
        <w:rPr>
          <w:b/>
          <w:szCs w:val="24"/>
          <w:lang w:val="en-US"/>
        </w:rPr>
        <w:t>Проект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proofErr w:type="spellStart"/>
      <w:r w:rsidR="004259DE" w:rsidRPr="00793957">
        <w:rPr>
          <w:b/>
          <w:szCs w:val="24"/>
          <w:lang w:val="en-US"/>
        </w:rPr>
        <w:t>на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r w:rsidR="003F1A37">
        <w:rPr>
          <w:b/>
          <w:szCs w:val="24"/>
        </w:rPr>
        <w:t>Наредба</w:t>
      </w:r>
      <w:r w:rsidR="00A90CE1">
        <w:rPr>
          <w:b/>
          <w:szCs w:val="24"/>
        </w:rPr>
        <w:t xml:space="preserve"> № 3</w:t>
      </w:r>
      <w:r w:rsidR="003F1A37">
        <w:rPr>
          <w:b/>
          <w:szCs w:val="24"/>
        </w:rPr>
        <w:t xml:space="preserve">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</w:t>
      </w:r>
    </w:p>
    <w:p w:rsidR="00793957" w:rsidRPr="00793957" w:rsidRDefault="00793957" w:rsidP="0079395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793957" w:rsidRDefault="006C4E9D" w:rsidP="0079395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793957" w:rsidRDefault="006C4E9D" w:rsidP="00793957">
      <w:pPr>
        <w:autoSpaceDE w:val="0"/>
        <w:autoSpaceDN w:val="0"/>
        <w:adjustRightInd w:val="0"/>
        <w:ind w:firstLine="708"/>
        <w:rPr>
          <w:rFonts w:cs="Times New Roman"/>
          <w:b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</w:t>
      </w:r>
      <w:r w:rsidR="009E588F" w:rsidRPr="00793957">
        <w:rPr>
          <w:b/>
          <w:szCs w:val="24"/>
        </w:rPr>
        <w:t>:</w:t>
      </w:r>
    </w:p>
    <w:p w:rsidR="0082584B" w:rsidRPr="00793957" w:rsidRDefault="0082584B" w:rsidP="0079395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</w:t>
      </w:r>
      <w:r w:rsidR="000B4995" w:rsidRPr="00CE5B3E">
        <w:rPr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A90CE1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</w:t>
      </w:r>
      <w:r w:rsidRPr="00CE5B3E">
        <w:rPr>
          <w:rStyle w:val="FontStyle14"/>
          <w:sz w:val="24"/>
          <w:szCs w:val="24"/>
        </w:rPr>
        <w:lastRenderedPageBreak/>
        <w:t>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793957" w:rsidRDefault="000A4B34" w:rsidP="00793957">
      <w:pPr>
        <w:autoSpaceDE w:val="0"/>
        <w:autoSpaceDN w:val="0"/>
        <w:adjustRightInd w:val="0"/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</w:t>
      </w:r>
      <w:r w:rsidR="004259DE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4259DE" w:rsidRDefault="004F56DF" w:rsidP="003F1A37">
      <w:pPr>
        <w:autoSpaceDE w:val="0"/>
        <w:autoSpaceDN w:val="0"/>
        <w:adjustRightInd w:val="0"/>
        <w:ind w:firstLine="708"/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дейност.</w:t>
      </w: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4259DE" w:rsidRDefault="000A4B34" w:rsidP="003F1A37">
      <w:pPr>
        <w:autoSpaceDE w:val="0"/>
        <w:autoSpaceDN w:val="0"/>
        <w:adjustRightInd w:val="0"/>
        <w:ind w:firstLine="0"/>
        <w:rPr>
          <w:b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дейност.</w:t>
      </w:r>
    </w:p>
    <w:p w:rsidR="002D3A36" w:rsidRPr="00CE5B3E" w:rsidRDefault="002D3A36" w:rsidP="0082584B">
      <w:pPr>
        <w:rPr>
          <w:szCs w:val="24"/>
        </w:rPr>
      </w:pPr>
    </w:p>
    <w:p w:rsidR="004259DE" w:rsidRDefault="006C4E9D" w:rsidP="003F1A37">
      <w:pPr>
        <w:autoSpaceDE w:val="0"/>
        <w:autoSpaceDN w:val="0"/>
        <w:adjustRightInd w:val="0"/>
        <w:ind w:firstLine="0"/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3F1A37">
        <w:rPr>
          <w:b/>
          <w:szCs w:val="24"/>
        </w:rPr>
        <w:t>Наредба за определяне на минималния размер на  наемите, при предоставяне на  помещения, сгради и терени, собственост на общината за развиване на стопанска дейност.</w:t>
      </w: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11D22"/>
    <w:rsid w:val="00356CF3"/>
    <w:rsid w:val="0037339F"/>
    <w:rsid w:val="0039147D"/>
    <w:rsid w:val="003C71DD"/>
    <w:rsid w:val="003D46DD"/>
    <w:rsid w:val="003F1A37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7076E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90CE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25</cp:revision>
  <cp:lastPrinted>2025-03-05T09:18:00Z</cp:lastPrinted>
  <dcterms:created xsi:type="dcterms:W3CDTF">2021-10-29T10:53:00Z</dcterms:created>
  <dcterms:modified xsi:type="dcterms:W3CDTF">2025-05-29T13:06:00Z</dcterms:modified>
</cp:coreProperties>
</file>